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70D" w:rsidRDefault="00CE170D" w:rsidP="00960E5F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О выборе варианта  пенсионного обеспечения в системе обязательного пенсионного страхования.</w:t>
      </w:r>
    </w:p>
    <w:p w:rsidR="00CE170D" w:rsidRDefault="00CE170D" w:rsidP="00960E5F">
      <w:pPr>
        <w:autoSpaceDE w:val="0"/>
        <w:autoSpaceDN w:val="0"/>
        <w:adjustRightInd w:val="0"/>
        <w:spacing w:before="120" w:after="120"/>
        <w:jc w:val="both"/>
        <w:rPr>
          <w:b/>
          <w:bCs/>
          <w:color w:val="000000"/>
          <w:sz w:val="28"/>
          <w:szCs w:val="28"/>
        </w:rPr>
      </w:pPr>
    </w:p>
    <w:p w:rsidR="00CE170D" w:rsidRDefault="00CE170D" w:rsidP="005440F3">
      <w:pPr>
        <w:autoSpaceDE w:val="0"/>
        <w:autoSpaceDN w:val="0"/>
        <w:adjustRightInd w:val="0"/>
        <w:spacing w:before="120" w:after="120"/>
        <w:jc w:val="both"/>
        <w:rPr>
          <w:color w:val="000000"/>
        </w:rPr>
      </w:pPr>
      <w:r w:rsidRPr="005440F3">
        <w:rPr>
          <w:color w:val="000000"/>
        </w:rPr>
        <w:t xml:space="preserve"> В соответствии с подписанным накануне федеральным законом</w:t>
      </w:r>
      <w:r w:rsidRPr="005440F3">
        <w:rPr>
          <w:i/>
          <w:iCs/>
          <w:color w:val="000000"/>
        </w:rPr>
        <w:t xml:space="preserve"> </w:t>
      </w:r>
      <w:r w:rsidRPr="005440F3">
        <w:rPr>
          <w:iCs/>
          <w:color w:val="000000"/>
        </w:rPr>
        <w:t xml:space="preserve"> «О внесении изменений в отдельные законодательные акты Российской Федерации по вопросам обязательного пенсионного страхования в части права выбора застрахованными лицами варианта пенсионного обеспечения»</w:t>
      </w:r>
      <w:r w:rsidRPr="005440F3">
        <w:rPr>
          <w:color w:val="000000"/>
        </w:rPr>
        <w:t>, гражданам 1967 года рождения и моложе, зарегистрированным в системе обязательного пенсионного страхования</w:t>
      </w:r>
      <w:r>
        <w:rPr>
          <w:color w:val="000000"/>
        </w:rPr>
        <w:t xml:space="preserve">, в 2014 и 2015 годах предоставлена возможность выбора тарифа страхового взноса на накопительную часть трудовой пенсии: либо оставить 6%, как сегодня, либо отказаться от дальнейшего формирования накопительной части пенсии, тем самым направив все страховые взносы, которые за них уплачивают работодатели, на формирование страховой части пенсии. 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Таким образом, если гражданин отказывается от формирования пенсионных накоплений, страховые взносы его работодателя в Пенсионный фонд России – в размере индивидуального тарифа 16% – будут направляться на формирование его страховой части пенсии. Важно отметить, что даже в этом случае все ранее сформированные пенсионные накопления граждан будут по-прежнему инвестироваться и выплачены в полном объеме, с учетом инвестиционного дохода, когда граждане получат право выйти на пенсию и обратятся за ее назначением. 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Если граждане, которые никогда не подавали заявление о выборе управляющей компании (УК), включая «Внешэкономбанк», или негосударственного пенсионного фонда (НПФ), так называемые «молчуны», желают, чтобы и в последующие годы по-прежнему направлялось на формирование накопительной части трудовой пенсии страховые взносы - 6% тарифа, им следует подать заявление о выборе УК либо НПФ. При этом, как и раньше, при переводе пенсионных накоплений в негосударственный пенсионный фонд гражданину необходимо заключить с выбранным НПФ соответствующий договор об обязательном пенсионном страховании. 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Таким образом, выбор 6% тарифа накопительной части пенсии в любом случае сопряжен с выбором управляющей компании или негосударственного пенсионного фонда. 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У тех, кто не подаст заявление до 31 декабря 2015 года и останется так называемым «молчуном», новые пенсионные накопления перестают формироваться и все страховые взносы будут направляться на формирование страховой части пенсии. 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Для граждан, которые в предыдущие годы хотя бы единожды подавали заявление о выборе УК, включая «Внешэкономбанк», либо НПФ, и оно было удовлетворено, на накопительную часть пенсии будет по-прежнему перечисляться 6% тарифа. При этом дополнительного заявления для перечисления 6% на накопительную часть пенсии им подавать не придется. В то же время эта категория граждан имеет возможность отказаться от дальнейшего формирования накопительной части пенсии, для чего необходимо подать соответствующее заявление. Такое решение можно принять в любой момент без временных ограничений. 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Важно отметить, что у граждан, которые в течение 2013 года подали заявления о выборе государственной управляющей компании «Внешэкономбанк» с тарифом 2%, с 2014 года по умолчанию накопительная часть прекращает формироваться: их страховая часть увеличивается за счет направления всех страховых взносов на страховую часть пенсии (подача заявления не требуется). Если эти граждане подадут заявление о выборе УК либо НПФ в течение 2014-2015 годов, то тогда они продолжат формировать накопительную часть в размере 6%. 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Письменное заявление о выборе страховщика по обязательному пенсионному страхованию, как и раньше, можно подать как в Управление Пенсионного фонда в Кингисеппском районе , так и через любого трансферагента ПФР, то есть организацию, с которой у ПФР заключены соглашения о взаимном удостоверении подписей. Заявление также можно подать по почте или с курьером; при этом установление личности и проверку подлинности подписи гражданина осуществляет нотариус. На момент подачи заявления гражданину должно исполниться 14 лет. </w:t>
      </w:r>
    </w:p>
    <w:p w:rsidR="00CE170D" w:rsidRPr="005440F3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Уточнить, какой страховщик сегодня формирует ваши пенсионные накопления, можно, получив выписку из вашего индивидуального лицевого счета в ПФР, обратившись в клиентскую службу Управления  или через сайт </w:t>
      </w:r>
      <w:hyperlink r:id="rId7" w:history="1">
        <w:r w:rsidRPr="005440F3">
          <w:rPr>
            <w:color w:val="0000FF"/>
            <w:u w:val="single"/>
          </w:rPr>
          <w:t>www.gosuslugi.ru</w:t>
        </w:r>
      </w:hyperlink>
      <w:r w:rsidRPr="005440F3">
        <w:rPr>
          <w:color w:val="000000"/>
          <w:u w:val="single"/>
        </w:rPr>
        <w:t xml:space="preserve">. 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 xml:space="preserve">Граждане, которым с 1 января 2014 года будут впервые начисляться страховые взносы, смогут в течение 5 лет с момента первого начисления им взносов выбирать, на финансирование какой части пенсии направить 6%. До принятия ими решения 6% тарифа будут перечисляться в страховую часть. 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>При выборе соотношения процентов формирования страховой и накопительной части пенсии следует помнить о том, что страховая часть гарантированно увеличивается государством за счет ежегодной индексации по уровню инфляции и с учетом индекса роста доходов ПФР в расчете на одного пенсионера. Средства же накопительной части пенсии инвестирует на финансовом рынке выбранный гражданином негосударственный пенсионный фонд или управляющая компания. Доходность пенсионных накоплений зависит от результатов их инвестирования.</w:t>
      </w:r>
    </w:p>
    <w:p w:rsidR="00CE170D" w:rsidRDefault="00CE170D" w:rsidP="00960E5F">
      <w:pPr>
        <w:autoSpaceDE w:val="0"/>
        <w:autoSpaceDN w:val="0"/>
        <w:adjustRightInd w:val="0"/>
        <w:spacing w:before="60" w:after="60"/>
        <w:ind w:firstLine="567"/>
        <w:jc w:val="both"/>
        <w:rPr>
          <w:color w:val="000000"/>
        </w:rPr>
      </w:pPr>
      <w:r>
        <w:rPr>
          <w:color w:val="000000"/>
        </w:rPr>
        <w:t>По действующему закону в этом году ПФР продолжает принимать заявления на выбор 2 или 6% тарифа страховых взносов на формирование накопительной части пенсии.</w:t>
      </w:r>
    </w:p>
    <w:p w:rsidR="00CE170D" w:rsidRDefault="00CE170D" w:rsidP="00960E5F">
      <w:pPr>
        <w:autoSpaceDE w:val="0"/>
        <w:autoSpaceDN w:val="0"/>
        <w:adjustRightInd w:val="0"/>
        <w:spacing w:before="120" w:after="120"/>
        <w:ind w:firstLine="567"/>
        <w:jc w:val="both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УПФР в Кингисеппском районе</w:t>
      </w:r>
    </w:p>
    <w:sectPr w:rsidR="00CE170D" w:rsidSect="005440F3">
      <w:headerReference w:type="default" r:id="rId8"/>
      <w:footerReference w:type="even" r:id="rId9"/>
      <w:footerReference w:type="default" r:id="rId10"/>
      <w:pgSz w:w="11906" w:h="16838" w:code="9"/>
      <w:pgMar w:top="1134" w:right="1287" w:bottom="720" w:left="144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70D" w:rsidRDefault="00CE170D">
      <w:r>
        <w:separator/>
      </w:r>
    </w:p>
  </w:endnote>
  <w:endnote w:type="continuationSeparator" w:id="0">
    <w:p w:rsidR="00CE170D" w:rsidRDefault="00CE17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0D" w:rsidRDefault="00CE170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E170D" w:rsidRDefault="00CE170D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0D" w:rsidRDefault="00CE170D">
    <w:pPr>
      <w:pStyle w:val="Footer"/>
      <w:ind w:right="360"/>
    </w:pPr>
    <w:r>
      <w:rPr>
        <w:noProof/>
      </w:rPr>
      <w:pict>
        <v:line id="_x0000_s2050" style="position:absolute;z-index:251662336" from="-2.1pt,-2.4pt" to="498.1pt,-2.4pt" o:allowincell="f" strokeweight="1pt"/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70D" w:rsidRDefault="00CE170D">
      <w:r>
        <w:separator/>
      </w:r>
    </w:p>
  </w:footnote>
  <w:footnote w:type="continuationSeparator" w:id="0">
    <w:p w:rsidR="00CE170D" w:rsidRDefault="00CE17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170D" w:rsidRDefault="00CE170D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5.2pt;margin-top:25.45pt;width:424.8pt;height:1in;z-index:251660288" filled="f" stroked="f">
          <v:textbox style="mso-next-textbox:#_x0000_s2049">
            <w:txbxContent>
              <w:p w:rsidR="00CE170D" w:rsidRPr="00931278" w:rsidRDefault="00CE170D">
                <w:pPr>
                  <w:pStyle w:val="Heading1"/>
                  <w:jc w:val="center"/>
                  <w:rPr>
                    <w:rFonts w:ascii="Arial" w:hAnsi="Arial"/>
                    <w:spacing w:val="30"/>
                    <w:w w:val="120"/>
                    <w:sz w:val="24"/>
                    <w:szCs w:val="24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A2548"/>
    <w:multiLevelType w:val="multilevel"/>
    <w:tmpl w:val="DA9C1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D02E5F"/>
    <w:multiLevelType w:val="multilevel"/>
    <w:tmpl w:val="6BA4E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0F2B73"/>
    <w:multiLevelType w:val="multilevel"/>
    <w:tmpl w:val="27321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D535CF"/>
    <w:multiLevelType w:val="multilevel"/>
    <w:tmpl w:val="25766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867710"/>
    <w:multiLevelType w:val="hybridMultilevel"/>
    <w:tmpl w:val="0588A21E"/>
    <w:lvl w:ilvl="0" w:tplc="2E5A991A">
      <w:start w:val="2"/>
      <w:numFmt w:val="bullet"/>
      <w:lvlText w:val=""/>
      <w:lvlJc w:val="left"/>
      <w:pPr>
        <w:tabs>
          <w:tab w:val="num" w:pos="987"/>
        </w:tabs>
        <w:ind w:left="987" w:hanging="360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>
    <w:nsid w:val="28CC46A5"/>
    <w:multiLevelType w:val="multilevel"/>
    <w:tmpl w:val="B71AD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F305C0"/>
    <w:multiLevelType w:val="multilevel"/>
    <w:tmpl w:val="7A242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783E6B"/>
    <w:multiLevelType w:val="multilevel"/>
    <w:tmpl w:val="C2805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4025F61"/>
    <w:multiLevelType w:val="multilevel"/>
    <w:tmpl w:val="B0484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D1F2060"/>
    <w:multiLevelType w:val="multilevel"/>
    <w:tmpl w:val="73FE4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BFD2AA2"/>
    <w:multiLevelType w:val="multilevel"/>
    <w:tmpl w:val="8864C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A8244A"/>
    <w:multiLevelType w:val="hybridMultilevel"/>
    <w:tmpl w:val="B89A5C5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789F350D"/>
    <w:multiLevelType w:val="multilevel"/>
    <w:tmpl w:val="EC981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B6740F"/>
    <w:multiLevelType w:val="multilevel"/>
    <w:tmpl w:val="7390B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BEA2566"/>
    <w:multiLevelType w:val="hybridMultilevel"/>
    <w:tmpl w:val="8CBCA686"/>
    <w:lvl w:ilvl="0" w:tplc="D186ADA8">
      <w:start w:val="30"/>
      <w:numFmt w:val="bullet"/>
      <w:lvlText w:val="-"/>
      <w:lvlJc w:val="left"/>
      <w:pPr>
        <w:tabs>
          <w:tab w:val="num" w:pos="1639"/>
        </w:tabs>
        <w:ind w:left="1639" w:hanging="93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7C010620"/>
    <w:multiLevelType w:val="multilevel"/>
    <w:tmpl w:val="543C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3"/>
  </w:num>
  <w:num w:numId="3">
    <w:abstractNumId w:val="15"/>
  </w:num>
  <w:num w:numId="4">
    <w:abstractNumId w:val="12"/>
  </w:num>
  <w:num w:numId="5">
    <w:abstractNumId w:val="10"/>
  </w:num>
  <w:num w:numId="6">
    <w:abstractNumId w:val="5"/>
  </w:num>
  <w:num w:numId="7">
    <w:abstractNumId w:val="7"/>
  </w:num>
  <w:num w:numId="8">
    <w:abstractNumId w:val="6"/>
  </w:num>
  <w:num w:numId="9">
    <w:abstractNumId w:val="13"/>
  </w:num>
  <w:num w:numId="10">
    <w:abstractNumId w:val="1"/>
  </w:num>
  <w:num w:numId="11">
    <w:abstractNumId w:val="0"/>
  </w:num>
  <w:num w:numId="12">
    <w:abstractNumId w:val="8"/>
  </w:num>
  <w:num w:numId="13">
    <w:abstractNumId w:val="2"/>
  </w:num>
  <w:num w:numId="14">
    <w:abstractNumId w:val="14"/>
  </w:num>
  <w:num w:numId="15">
    <w:abstractNumId w:val="11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4613"/>
    <w:rsid w:val="000048F8"/>
    <w:rsid w:val="00004CF3"/>
    <w:rsid w:val="00007883"/>
    <w:rsid w:val="0000797E"/>
    <w:rsid w:val="0001129B"/>
    <w:rsid w:val="00012FFF"/>
    <w:rsid w:val="00013EC0"/>
    <w:rsid w:val="000179AA"/>
    <w:rsid w:val="00024270"/>
    <w:rsid w:val="000267E9"/>
    <w:rsid w:val="00030AD8"/>
    <w:rsid w:val="00034133"/>
    <w:rsid w:val="00035317"/>
    <w:rsid w:val="000356C3"/>
    <w:rsid w:val="00036C7D"/>
    <w:rsid w:val="0004132F"/>
    <w:rsid w:val="00041CDC"/>
    <w:rsid w:val="00042475"/>
    <w:rsid w:val="00045E15"/>
    <w:rsid w:val="00052F4A"/>
    <w:rsid w:val="000533BF"/>
    <w:rsid w:val="00053D6F"/>
    <w:rsid w:val="00055A89"/>
    <w:rsid w:val="00063F28"/>
    <w:rsid w:val="00073DD6"/>
    <w:rsid w:val="00077068"/>
    <w:rsid w:val="00087A08"/>
    <w:rsid w:val="000944C7"/>
    <w:rsid w:val="00096264"/>
    <w:rsid w:val="000A2866"/>
    <w:rsid w:val="000A3D03"/>
    <w:rsid w:val="000A525F"/>
    <w:rsid w:val="000B25F0"/>
    <w:rsid w:val="000B42C7"/>
    <w:rsid w:val="000C2997"/>
    <w:rsid w:val="000C5F31"/>
    <w:rsid w:val="000C7571"/>
    <w:rsid w:val="000C7C73"/>
    <w:rsid w:val="000D10D9"/>
    <w:rsid w:val="000D20E5"/>
    <w:rsid w:val="000E40FA"/>
    <w:rsid w:val="000E673C"/>
    <w:rsid w:val="000F0F24"/>
    <w:rsid w:val="000F1C4E"/>
    <w:rsid w:val="000F2D3E"/>
    <w:rsid w:val="000F380B"/>
    <w:rsid w:val="000F6215"/>
    <w:rsid w:val="000F7E0A"/>
    <w:rsid w:val="001006E7"/>
    <w:rsid w:val="00120BB3"/>
    <w:rsid w:val="00126744"/>
    <w:rsid w:val="0012734D"/>
    <w:rsid w:val="00140CD3"/>
    <w:rsid w:val="00147772"/>
    <w:rsid w:val="00150183"/>
    <w:rsid w:val="00150F3A"/>
    <w:rsid w:val="001728B4"/>
    <w:rsid w:val="00174C5F"/>
    <w:rsid w:val="00177EEE"/>
    <w:rsid w:val="00181C30"/>
    <w:rsid w:val="00186855"/>
    <w:rsid w:val="001918DE"/>
    <w:rsid w:val="00193816"/>
    <w:rsid w:val="001A0EB3"/>
    <w:rsid w:val="001A317B"/>
    <w:rsid w:val="001B1518"/>
    <w:rsid w:val="001B34C6"/>
    <w:rsid w:val="001B7689"/>
    <w:rsid w:val="001C420B"/>
    <w:rsid w:val="001C5041"/>
    <w:rsid w:val="001C632B"/>
    <w:rsid w:val="001D1436"/>
    <w:rsid w:val="001D22AE"/>
    <w:rsid w:val="001D2841"/>
    <w:rsid w:val="001D678E"/>
    <w:rsid w:val="001E1521"/>
    <w:rsid w:val="001E2895"/>
    <w:rsid w:val="001E4E6E"/>
    <w:rsid w:val="001F10DA"/>
    <w:rsid w:val="001F7150"/>
    <w:rsid w:val="001F7D7D"/>
    <w:rsid w:val="00203BAA"/>
    <w:rsid w:val="00204903"/>
    <w:rsid w:val="0021087E"/>
    <w:rsid w:val="00210AC0"/>
    <w:rsid w:val="00212AAD"/>
    <w:rsid w:val="002131FD"/>
    <w:rsid w:val="00220E40"/>
    <w:rsid w:val="00223643"/>
    <w:rsid w:val="00224E39"/>
    <w:rsid w:val="00225974"/>
    <w:rsid w:val="00226967"/>
    <w:rsid w:val="00231010"/>
    <w:rsid w:val="00231A54"/>
    <w:rsid w:val="00232AE9"/>
    <w:rsid w:val="00234A87"/>
    <w:rsid w:val="0024454E"/>
    <w:rsid w:val="00254651"/>
    <w:rsid w:val="0025643B"/>
    <w:rsid w:val="00257490"/>
    <w:rsid w:val="00260D34"/>
    <w:rsid w:val="002615C1"/>
    <w:rsid w:val="0026507F"/>
    <w:rsid w:val="002740C4"/>
    <w:rsid w:val="00275B56"/>
    <w:rsid w:val="00283607"/>
    <w:rsid w:val="002939F7"/>
    <w:rsid w:val="002945C8"/>
    <w:rsid w:val="002A03BF"/>
    <w:rsid w:val="002A094C"/>
    <w:rsid w:val="002A7358"/>
    <w:rsid w:val="002B0550"/>
    <w:rsid w:val="002C25C7"/>
    <w:rsid w:val="002C7FFA"/>
    <w:rsid w:val="002E072C"/>
    <w:rsid w:val="002E1CC3"/>
    <w:rsid w:val="002E4187"/>
    <w:rsid w:val="002E4D4A"/>
    <w:rsid w:val="002E7D29"/>
    <w:rsid w:val="002F1BF9"/>
    <w:rsid w:val="002F2751"/>
    <w:rsid w:val="002F4EA2"/>
    <w:rsid w:val="002F7DDE"/>
    <w:rsid w:val="00304B2C"/>
    <w:rsid w:val="00310870"/>
    <w:rsid w:val="00314523"/>
    <w:rsid w:val="00322BEF"/>
    <w:rsid w:val="00323D16"/>
    <w:rsid w:val="0033165B"/>
    <w:rsid w:val="00332E2C"/>
    <w:rsid w:val="00340C17"/>
    <w:rsid w:val="00343652"/>
    <w:rsid w:val="00344532"/>
    <w:rsid w:val="00346B57"/>
    <w:rsid w:val="00347A62"/>
    <w:rsid w:val="00350E95"/>
    <w:rsid w:val="0036277D"/>
    <w:rsid w:val="003665C0"/>
    <w:rsid w:val="0037128C"/>
    <w:rsid w:val="00371377"/>
    <w:rsid w:val="003730DF"/>
    <w:rsid w:val="0037359A"/>
    <w:rsid w:val="003749A6"/>
    <w:rsid w:val="00375D6C"/>
    <w:rsid w:val="00376E4D"/>
    <w:rsid w:val="003829A5"/>
    <w:rsid w:val="00386828"/>
    <w:rsid w:val="00386F82"/>
    <w:rsid w:val="003936A7"/>
    <w:rsid w:val="003A0573"/>
    <w:rsid w:val="003A1250"/>
    <w:rsid w:val="003A3066"/>
    <w:rsid w:val="003B2954"/>
    <w:rsid w:val="003B4D15"/>
    <w:rsid w:val="003B58FF"/>
    <w:rsid w:val="003B6DB2"/>
    <w:rsid w:val="003C07CA"/>
    <w:rsid w:val="003C1B23"/>
    <w:rsid w:val="003C3CCC"/>
    <w:rsid w:val="003C47BC"/>
    <w:rsid w:val="003C4AC7"/>
    <w:rsid w:val="003C4BE4"/>
    <w:rsid w:val="003D5DC3"/>
    <w:rsid w:val="003D7977"/>
    <w:rsid w:val="003E1DCE"/>
    <w:rsid w:val="003E2BB0"/>
    <w:rsid w:val="003E39B6"/>
    <w:rsid w:val="003E4590"/>
    <w:rsid w:val="003E6869"/>
    <w:rsid w:val="00403AB9"/>
    <w:rsid w:val="0040755A"/>
    <w:rsid w:val="00407C7B"/>
    <w:rsid w:val="004107A4"/>
    <w:rsid w:val="00412CD1"/>
    <w:rsid w:val="004172A2"/>
    <w:rsid w:val="0041788B"/>
    <w:rsid w:val="00422292"/>
    <w:rsid w:val="0043233F"/>
    <w:rsid w:val="0044358C"/>
    <w:rsid w:val="00445941"/>
    <w:rsid w:val="0044688E"/>
    <w:rsid w:val="00446FBF"/>
    <w:rsid w:val="00457377"/>
    <w:rsid w:val="00461D92"/>
    <w:rsid w:val="00461F1F"/>
    <w:rsid w:val="004632A4"/>
    <w:rsid w:val="0046337B"/>
    <w:rsid w:val="00466807"/>
    <w:rsid w:val="00472ED5"/>
    <w:rsid w:val="00474B38"/>
    <w:rsid w:val="004817F9"/>
    <w:rsid w:val="004877BF"/>
    <w:rsid w:val="0049450E"/>
    <w:rsid w:val="004950A9"/>
    <w:rsid w:val="00497CED"/>
    <w:rsid w:val="004A4BA7"/>
    <w:rsid w:val="004A65AB"/>
    <w:rsid w:val="004C40EB"/>
    <w:rsid w:val="004C425C"/>
    <w:rsid w:val="004C5A67"/>
    <w:rsid w:val="004C6630"/>
    <w:rsid w:val="004C7A3B"/>
    <w:rsid w:val="004D7BEE"/>
    <w:rsid w:val="004D7C85"/>
    <w:rsid w:val="004D7D34"/>
    <w:rsid w:val="004D7F8E"/>
    <w:rsid w:val="004E4E91"/>
    <w:rsid w:val="004E6738"/>
    <w:rsid w:val="004F07D2"/>
    <w:rsid w:val="004F164E"/>
    <w:rsid w:val="004F2F1E"/>
    <w:rsid w:val="004F6DF5"/>
    <w:rsid w:val="004F778D"/>
    <w:rsid w:val="004F79EF"/>
    <w:rsid w:val="00502B4D"/>
    <w:rsid w:val="00504BF1"/>
    <w:rsid w:val="00506909"/>
    <w:rsid w:val="00516ECE"/>
    <w:rsid w:val="00524712"/>
    <w:rsid w:val="00532385"/>
    <w:rsid w:val="00532A39"/>
    <w:rsid w:val="00534661"/>
    <w:rsid w:val="005374E5"/>
    <w:rsid w:val="005408D8"/>
    <w:rsid w:val="00541ADD"/>
    <w:rsid w:val="005440F3"/>
    <w:rsid w:val="00544367"/>
    <w:rsid w:val="00547C63"/>
    <w:rsid w:val="005508CC"/>
    <w:rsid w:val="00550C03"/>
    <w:rsid w:val="0055112A"/>
    <w:rsid w:val="00555236"/>
    <w:rsid w:val="005603F8"/>
    <w:rsid w:val="00561AF5"/>
    <w:rsid w:val="00571067"/>
    <w:rsid w:val="005710E8"/>
    <w:rsid w:val="0057206A"/>
    <w:rsid w:val="00573FBF"/>
    <w:rsid w:val="0057429F"/>
    <w:rsid w:val="005760BA"/>
    <w:rsid w:val="0057646B"/>
    <w:rsid w:val="005828C7"/>
    <w:rsid w:val="00592F56"/>
    <w:rsid w:val="00596016"/>
    <w:rsid w:val="005A38C2"/>
    <w:rsid w:val="005B354E"/>
    <w:rsid w:val="005C3309"/>
    <w:rsid w:val="005C79CE"/>
    <w:rsid w:val="005D1E1D"/>
    <w:rsid w:val="005D2350"/>
    <w:rsid w:val="005D5D0E"/>
    <w:rsid w:val="005D604B"/>
    <w:rsid w:val="005D7C68"/>
    <w:rsid w:val="005E0E99"/>
    <w:rsid w:val="005E26B8"/>
    <w:rsid w:val="005E2727"/>
    <w:rsid w:val="005E3E2A"/>
    <w:rsid w:val="005F68C1"/>
    <w:rsid w:val="006018CE"/>
    <w:rsid w:val="00602312"/>
    <w:rsid w:val="0060290C"/>
    <w:rsid w:val="0060503E"/>
    <w:rsid w:val="00611C07"/>
    <w:rsid w:val="00612829"/>
    <w:rsid w:val="006150EA"/>
    <w:rsid w:val="00616575"/>
    <w:rsid w:val="0061666A"/>
    <w:rsid w:val="00617DA6"/>
    <w:rsid w:val="00626553"/>
    <w:rsid w:val="00626CDF"/>
    <w:rsid w:val="006324FD"/>
    <w:rsid w:val="00632E87"/>
    <w:rsid w:val="00642A64"/>
    <w:rsid w:val="00646E74"/>
    <w:rsid w:val="0065623B"/>
    <w:rsid w:val="0065662B"/>
    <w:rsid w:val="0066435D"/>
    <w:rsid w:val="00664D4C"/>
    <w:rsid w:val="00666802"/>
    <w:rsid w:val="006702AF"/>
    <w:rsid w:val="00676020"/>
    <w:rsid w:val="00680A42"/>
    <w:rsid w:val="006811EF"/>
    <w:rsid w:val="00684094"/>
    <w:rsid w:val="00686C02"/>
    <w:rsid w:val="006A1F15"/>
    <w:rsid w:val="006A3045"/>
    <w:rsid w:val="006B7665"/>
    <w:rsid w:val="006D1BCD"/>
    <w:rsid w:val="006D24D6"/>
    <w:rsid w:val="006D3C2A"/>
    <w:rsid w:val="006D7086"/>
    <w:rsid w:val="006D76B7"/>
    <w:rsid w:val="006E5E8B"/>
    <w:rsid w:val="006F0EFE"/>
    <w:rsid w:val="006F2A8E"/>
    <w:rsid w:val="006F2C42"/>
    <w:rsid w:val="00700456"/>
    <w:rsid w:val="0070143F"/>
    <w:rsid w:val="00704C89"/>
    <w:rsid w:val="0071197D"/>
    <w:rsid w:val="00713B7B"/>
    <w:rsid w:val="00715431"/>
    <w:rsid w:val="007155F6"/>
    <w:rsid w:val="00720AD2"/>
    <w:rsid w:val="0072132A"/>
    <w:rsid w:val="00725B58"/>
    <w:rsid w:val="007270A1"/>
    <w:rsid w:val="00730B8A"/>
    <w:rsid w:val="00730C07"/>
    <w:rsid w:val="007327BD"/>
    <w:rsid w:val="00733C13"/>
    <w:rsid w:val="0073476B"/>
    <w:rsid w:val="00744F07"/>
    <w:rsid w:val="00745B7D"/>
    <w:rsid w:val="0074644B"/>
    <w:rsid w:val="007474DF"/>
    <w:rsid w:val="00752096"/>
    <w:rsid w:val="0075770C"/>
    <w:rsid w:val="00777A5F"/>
    <w:rsid w:val="00781A98"/>
    <w:rsid w:val="00783287"/>
    <w:rsid w:val="00783623"/>
    <w:rsid w:val="00792C52"/>
    <w:rsid w:val="007A20C5"/>
    <w:rsid w:val="007A44F5"/>
    <w:rsid w:val="007B32A9"/>
    <w:rsid w:val="007B3DDD"/>
    <w:rsid w:val="007B7183"/>
    <w:rsid w:val="007B7A85"/>
    <w:rsid w:val="007C337C"/>
    <w:rsid w:val="007C3848"/>
    <w:rsid w:val="007C4961"/>
    <w:rsid w:val="007C766A"/>
    <w:rsid w:val="007D5BFF"/>
    <w:rsid w:val="007F0262"/>
    <w:rsid w:val="007F19E8"/>
    <w:rsid w:val="007F4AB3"/>
    <w:rsid w:val="00802EB6"/>
    <w:rsid w:val="00811793"/>
    <w:rsid w:val="00811C4C"/>
    <w:rsid w:val="00813F74"/>
    <w:rsid w:val="00822869"/>
    <w:rsid w:val="008230DF"/>
    <w:rsid w:val="0082472E"/>
    <w:rsid w:val="00824B70"/>
    <w:rsid w:val="008265C2"/>
    <w:rsid w:val="00835911"/>
    <w:rsid w:val="0084373C"/>
    <w:rsid w:val="0084501C"/>
    <w:rsid w:val="00852E5E"/>
    <w:rsid w:val="008667AC"/>
    <w:rsid w:val="0086705F"/>
    <w:rsid w:val="0087134E"/>
    <w:rsid w:val="008714D7"/>
    <w:rsid w:val="008754FA"/>
    <w:rsid w:val="00877D8F"/>
    <w:rsid w:val="008840C7"/>
    <w:rsid w:val="00884B98"/>
    <w:rsid w:val="0088746E"/>
    <w:rsid w:val="00897786"/>
    <w:rsid w:val="008A36F9"/>
    <w:rsid w:val="008A41CB"/>
    <w:rsid w:val="008A48C0"/>
    <w:rsid w:val="008A497E"/>
    <w:rsid w:val="008A590C"/>
    <w:rsid w:val="008A696E"/>
    <w:rsid w:val="008C4830"/>
    <w:rsid w:val="008D338E"/>
    <w:rsid w:val="008E65A4"/>
    <w:rsid w:val="008E6F37"/>
    <w:rsid w:val="00900B53"/>
    <w:rsid w:val="00904E8B"/>
    <w:rsid w:val="00906A11"/>
    <w:rsid w:val="00906DFF"/>
    <w:rsid w:val="0090727E"/>
    <w:rsid w:val="009128A3"/>
    <w:rsid w:val="0091610A"/>
    <w:rsid w:val="00916555"/>
    <w:rsid w:val="00917C3A"/>
    <w:rsid w:val="00931278"/>
    <w:rsid w:val="009314CF"/>
    <w:rsid w:val="009320FE"/>
    <w:rsid w:val="00935376"/>
    <w:rsid w:val="00937DF9"/>
    <w:rsid w:val="00940E5C"/>
    <w:rsid w:val="00941175"/>
    <w:rsid w:val="009422D1"/>
    <w:rsid w:val="009505DA"/>
    <w:rsid w:val="00951A3F"/>
    <w:rsid w:val="009606D4"/>
    <w:rsid w:val="00960B7B"/>
    <w:rsid w:val="00960E5F"/>
    <w:rsid w:val="009654CD"/>
    <w:rsid w:val="00974A1A"/>
    <w:rsid w:val="0097652E"/>
    <w:rsid w:val="009809BA"/>
    <w:rsid w:val="0098233C"/>
    <w:rsid w:val="00982DCA"/>
    <w:rsid w:val="00982DF6"/>
    <w:rsid w:val="00983D18"/>
    <w:rsid w:val="00985739"/>
    <w:rsid w:val="009933ED"/>
    <w:rsid w:val="00993932"/>
    <w:rsid w:val="009B5230"/>
    <w:rsid w:val="009B531F"/>
    <w:rsid w:val="009B5EF6"/>
    <w:rsid w:val="009C17AD"/>
    <w:rsid w:val="009C320B"/>
    <w:rsid w:val="009C3AFB"/>
    <w:rsid w:val="009C5146"/>
    <w:rsid w:val="009D240B"/>
    <w:rsid w:val="009D3949"/>
    <w:rsid w:val="009D4642"/>
    <w:rsid w:val="009D4693"/>
    <w:rsid w:val="009E1EE9"/>
    <w:rsid w:val="009E5FB1"/>
    <w:rsid w:val="009F0204"/>
    <w:rsid w:val="009F3550"/>
    <w:rsid w:val="009F39EB"/>
    <w:rsid w:val="009F4852"/>
    <w:rsid w:val="009F5705"/>
    <w:rsid w:val="009F79B0"/>
    <w:rsid w:val="00A00FBB"/>
    <w:rsid w:val="00A1103E"/>
    <w:rsid w:val="00A25ECA"/>
    <w:rsid w:val="00A27B9A"/>
    <w:rsid w:val="00A349F9"/>
    <w:rsid w:val="00A4175A"/>
    <w:rsid w:val="00A43D0A"/>
    <w:rsid w:val="00A445B4"/>
    <w:rsid w:val="00A46B2A"/>
    <w:rsid w:val="00A603B8"/>
    <w:rsid w:val="00A61C5C"/>
    <w:rsid w:val="00A640CB"/>
    <w:rsid w:val="00A74355"/>
    <w:rsid w:val="00A83AC8"/>
    <w:rsid w:val="00A93410"/>
    <w:rsid w:val="00A96BB9"/>
    <w:rsid w:val="00A974B9"/>
    <w:rsid w:val="00AA197A"/>
    <w:rsid w:val="00AA2411"/>
    <w:rsid w:val="00AA24FF"/>
    <w:rsid w:val="00AA7246"/>
    <w:rsid w:val="00AC3D12"/>
    <w:rsid w:val="00AC505E"/>
    <w:rsid w:val="00AD125E"/>
    <w:rsid w:val="00AD42ED"/>
    <w:rsid w:val="00AD451D"/>
    <w:rsid w:val="00AD50BB"/>
    <w:rsid w:val="00AD6672"/>
    <w:rsid w:val="00AE2EDE"/>
    <w:rsid w:val="00AE79FE"/>
    <w:rsid w:val="00AF4F49"/>
    <w:rsid w:val="00AF7D9A"/>
    <w:rsid w:val="00B00B95"/>
    <w:rsid w:val="00B047D2"/>
    <w:rsid w:val="00B06E6F"/>
    <w:rsid w:val="00B17914"/>
    <w:rsid w:val="00B234E1"/>
    <w:rsid w:val="00B2429A"/>
    <w:rsid w:val="00B264AE"/>
    <w:rsid w:val="00B27A82"/>
    <w:rsid w:val="00B312CF"/>
    <w:rsid w:val="00B3659F"/>
    <w:rsid w:val="00B44570"/>
    <w:rsid w:val="00B4576F"/>
    <w:rsid w:val="00B45773"/>
    <w:rsid w:val="00B462A6"/>
    <w:rsid w:val="00B50679"/>
    <w:rsid w:val="00B54722"/>
    <w:rsid w:val="00B55335"/>
    <w:rsid w:val="00B5646E"/>
    <w:rsid w:val="00B56FBA"/>
    <w:rsid w:val="00B60C6C"/>
    <w:rsid w:val="00B645EF"/>
    <w:rsid w:val="00B64E4E"/>
    <w:rsid w:val="00B67DFD"/>
    <w:rsid w:val="00B704B4"/>
    <w:rsid w:val="00B70587"/>
    <w:rsid w:val="00B750B9"/>
    <w:rsid w:val="00B775E2"/>
    <w:rsid w:val="00B8184E"/>
    <w:rsid w:val="00B9121C"/>
    <w:rsid w:val="00B94613"/>
    <w:rsid w:val="00B94642"/>
    <w:rsid w:val="00BA0C38"/>
    <w:rsid w:val="00BA1668"/>
    <w:rsid w:val="00BA69BA"/>
    <w:rsid w:val="00BB17D4"/>
    <w:rsid w:val="00BB1E52"/>
    <w:rsid w:val="00BB748D"/>
    <w:rsid w:val="00BC1BE1"/>
    <w:rsid w:val="00BC35F8"/>
    <w:rsid w:val="00BC3ADE"/>
    <w:rsid w:val="00BD08D4"/>
    <w:rsid w:val="00BD73A4"/>
    <w:rsid w:val="00BE13EA"/>
    <w:rsid w:val="00BE3CD6"/>
    <w:rsid w:val="00BF1DFD"/>
    <w:rsid w:val="00BF64E9"/>
    <w:rsid w:val="00C02777"/>
    <w:rsid w:val="00C06609"/>
    <w:rsid w:val="00C06712"/>
    <w:rsid w:val="00C10F77"/>
    <w:rsid w:val="00C15D32"/>
    <w:rsid w:val="00C16566"/>
    <w:rsid w:val="00C1767A"/>
    <w:rsid w:val="00C26ECF"/>
    <w:rsid w:val="00C272B6"/>
    <w:rsid w:val="00C3370F"/>
    <w:rsid w:val="00C342BA"/>
    <w:rsid w:val="00C37551"/>
    <w:rsid w:val="00C40A04"/>
    <w:rsid w:val="00C41F9F"/>
    <w:rsid w:val="00C4486F"/>
    <w:rsid w:val="00C47F98"/>
    <w:rsid w:val="00C56675"/>
    <w:rsid w:val="00C60234"/>
    <w:rsid w:val="00C6554D"/>
    <w:rsid w:val="00C67CAD"/>
    <w:rsid w:val="00C704B0"/>
    <w:rsid w:val="00C73603"/>
    <w:rsid w:val="00C829CE"/>
    <w:rsid w:val="00C85A49"/>
    <w:rsid w:val="00C87817"/>
    <w:rsid w:val="00C92CB0"/>
    <w:rsid w:val="00C94DED"/>
    <w:rsid w:val="00C9657A"/>
    <w:rsid w:val="00CA1162"/>
    <w:rsid w:val="00CA181A"/>
    <w:rsid w:val="00CA3508"/>
    <w:rsid w:val="00CA47F5"/>
    <w:rsid w:val="00CA588A"/>
    <w:rsid w:val="00CB32E9"/>
    <w:rsid w:val="00CB35D4"/>
    <w:rsid w:val="00CB41DA"/>
    <w:rsid w:val="00CC65D4"/>
    <w:rsid w:val="00CC6AD0"/>
    <w:rsid w:val="00CD0041"/>
    <w:rsid w:val="00CD3B08"/>
    <w:rsid w:val="00CD534C"/>
    <w:rsid w:val="00CD55C4"/>
    <w:rsid w:val="00CD6693"/>
    <w:rsid w:val="00CE170D"/>
    <w:rsid w:val="00CF2098"/>
    <w:rsid w:val="00CF3DC2"/>
    <w:rsid w:val="00CF7B6E"/>
    <w:rsid w:val="00D00692"/>
    <w:rsid w:val="00D10364"/>
    <w:rsid w:val="00D1743E"/>
    <w:rsid w:val="00D360E7"/>
    <w:rsid w:val="00D36B03"/>
    <w:rsid w:val="00D4299B"/>
    <w:rsid w:val="00D431A8"/>
    <w:rsid w:val="00D432AE"/>
    <w:rsid w:val="00D47C5E"/>
    <w:rsid w:val="00D56AC7"/>
    <w:rsid w:val="00D641BC"/>
    <w:rsid w:val="00D70982"/>
    <w:rsid w:val="00D81DE8"/>
    <w:rsid w:val="00D912C4"/>
    <w:rsid w:val="00D91AA3"/>
    <w:rsid w:val="00D92B95"/>
    <w:rsid w:val="00D94B5B"/>
    <w:rsid w:val="00DA3F0B"/>
    <w:rsid w:val="00DA636C"/>
    <w:rsid w:val="00DA6694"/>
    <w:rsid w:val="00DA7699"/>
    <w:rsid w:val="00DB7008"/>
    <w:rsid w:val="00DB7C5A"/>
    <w:rsid w:val="00DC3AC8"/>
    <w:rsid w:val="00DC736A"/>
    <w:rsid w:val="00DD0021"/>
    <w:rsid w:val="00DD058F"/>
    <w:rsid w:val="00DD162B"/>
    <w:rsid w:val="00DD19D1"/>
    <w:rsid w:val="00DD5A72"/>
    <w:rsid w:val="00DD7813"/>
    <w:rsid w:val="00DE6D4C"/>
    <w:rsid w:val="00DF0D3E"/>
    <w:rsid w:val="00DF671E"/>
    <w:rsid w:val="00DF7526"/>
    <w:rsid w:val="00E00DEC"/>
    <w:rsid w:val="00E064B1"/>
    <w:rsid w:val="00E12EEF"/>
    <w:rsid w:val="00E152EE"/>
    <w:rsid w:val="00E15908"/>
    <w:rsid w:val="00E1767B"/>
    <w:rsid w:val="00E252F0"/>
    <w:rsid w:val="00E262F8"/>
    <w:rsid w:val="00E31486"/>
    <w:rsid w:val="00E36651"/>
    <w:rsid w:val="00E4053E"/>
    <w:rsid w:val="00E405A1"/>
    <w:rsid w:val="00E423B5"/>
    <w:rsid w:val="00E42539"/>
    <w:rsid w:val="00E45C91"/>
    <w:rsid w:val="00E51C77"/>
    <w:rsid w:val="00E52CD8"/>
    <w:rsid w:val="00E53B56"/>
    <w:rsid w:val="00E55410"/>
    <w:rsid w:val="00E55DF9"/>
    <w:rsid w:val="00E66906"/>
    <w:rsid w:val="00E70179"/>
    <w:rsid w:val="00E72983"/>
    <w:rsid w:val="00E74653"/>
    <w:rsid w:val="00E90108"/>
    <w:rsid w:val="00E92668"/>
    <w:rsid w:val="00E92AE9"/>
    <w:rsid w:val="00EA017E"/>
    <w:rsid w:val="00EA3E84"/>
    <w:rsid w:val="00EA4B06"/>
    <w:rsid w:val="00EA50F9"/>
    <w:rsid w:val="00EB10EC"/>
    <w:rsid w:val="00EB184F"/>
    <w:rsid w:val="00EB338F"/>
    <w:rsid w:val="00ED53F3"/>
    <w:rsid w:val="00ED6594"/>
    <w:rsid w:val="00EE7CA7"/>
    <w:rsid w:val="00EF4A50"/>
    <w:rsid w:val="00EF66AE"/>
    <w:rsid w:val="00EF7774"/>
    <w:rsid w:val="00F00236"/>
    <w:rsid w:val="00F03C6E"/>
    <w:rsid w:val="00F06575"/>
    <w:rsid w:val="00F07582"/>
    <w:rsid w:val="00F13B2A"/>
    <w:rsid w:val="00F14757"/>
    <w:rsid w:val="00F14947"/>
    <w:rsid w:val="00F15F46"/>
    <w:rsid w:val="00F22769"/>
    <w:rsid w:val="00F24F45"/>
    <w:rsid w:val="00F25383"/>
    <w:rsid w:val="00F30EEE"/>
    <w:rsid w:val="00F31478"/>
    <w:rsid w:val="00F33A31"/>
    <w:rsid w:val="00F3504D"/>
    <w:rsid w:val="00F35799"/>
    <w:rsid w:val="00F36D4F"/>
    <w:rsid w:val="00F3768B"/>
    <w:rsid w:val="00F37A9C"/>
    <w:rsid w:val="00F42445"/>
    <w:rsid w:val="00F448F8"/>
    <w:rsid w:val="00F47EB0"/>
    <w:rsid w:val="00F504BC"/>
    <w:rsid w:val="00F50E00"/>
    <w:rsid w:val="00F70CE8"/>
    <w:rsid w:val="00F763B7"/>
    <w:rsid w:val="00F76673"/>
    <w:rsid w:val="00F81FE9"/>
    <w:rsid w:val="00F826E7"/>
    <w:rsid w:val="00F83808"/>
    <w:rsid w:val="00F8405C"/>
    <w:rsid w:val="00F84AEA"/>
    <w:rsid w:val="00F9095C"/>
    <w:rsid w:val="00F96007"/>
    <w:rsid w:val="00F964A9"/>
    <w:rsid w:val="00F97270"/>
    <w:rsid w:val="00FA10AD"/>
    <w:rsid w:val="00FA5676"/>
    <w:rsid w:val="00FB4098"/>
    <w:rsid w:val="00FC5BB4"/>
    <w:rsid w:val="00FD3CBF"/>
    <w:rsid w:val="00FD6918"/>
    <w:rsid w:val="00FF0B56"/>
    <w:rsid w:val="00FF2030"/>
    <w:rsid w:val="00FF7E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19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65A4"/>
    <w:pPr>
      <w:keepNext/>
      <w:outlineLvl w:val="0"/>
    </w:pPr>
    <w:rPr>
      <w:b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65A4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8E65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8E65A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8E65A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E65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8E65A4"/>
    <w:rPr>
      <w:rFonts w:cs="Times New Roman"/>
      <w:b/>
      <w:bCs/>
    </w:rPr>
  </w:style>
  <w:style w:type="paragraph" w:styleId="NormalWeb">
    <w:name w:val="Normal (Web)"/>
    <w:basedOn w:val="Normal"/>
    <w:uiPriority w:val="99"/>
    <w:rsid w:val="008E65A4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rsid w:val="008E65A4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AA24FF"/>
    <w:rPr>
      <w:rFonts w:cs="Times New Roman"/>
      <w:i/>
      <w:iCs/>
    </w:rPr>
  </w:style>
  <w:style w:type="character" w:customStyle="1" w:styleId="apple-style-span">
    <w:name w:val="apple-style-span"/>
    <w:basedOn w:val="DefaultParagraphFont"/>
    <w:uiPriority w:val="99"/>
    <w:rsid w:val="00611C07"/>
    <w:rPr>
      <w:rFonts w:cs="Times New Roman"/>
    </w:rPr>
  </w:style>
  <w:style w:type="paragraph" w:styleId="BodyTextIndent2">
    <w:name w:val="Body Text Indent 2"/>
    <w:basedOn w:val="Normal"/>
    <w:link w:val="BodyTextIndent2Char"/>
    <w:uiPriority w:val="99"/>
    <w:rsid w:val="00783623"/>
    <w:pPr>
      <w:ind w:firstLine="709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Pr>
      <w:rFonts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5603F8"/>
    <w:rPr>
      <w:rFonts w:cs="Times New Roman"/>
    </w:rPr>
  </w:style>
  <w:style w:type="character" w:styleId="FollowedHyperlink">
    <w:name w:val="FollowedHyperlink"/>
    <w:basedOn w:val="DefaultParagraphFont"/>
    <w:uiPriority w:val="99"/>
    <w:rsid w:val="00C9657A"/>
    <w:rPr>
      <w:rFonts w:cs="Times New Roman"/>
      <w:color w:val="800080"/>
      <w:u w:val="single"/>
    </w:rPr>
  </w:style>
  <w:style w:type="paragraph" w:styleId="NormalIndent">
    <w:name w:val="Normal Indent"/>
    <w:basedOn w:val="Normal"/>
    <w:uiPriority w:val="99"/>
    <w:semiHidden/>
    <w:rsid w:val="005828C7"/>
    <w:pPr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BodyTextIndent">
    <w:name w:val="Body Text Indent"/>
    <w:basedOn w:val="Normal"/>
    <w:link w:val="BodyTextIndentChar"/>
    <w:uiPriority w:val="99"/>
    <w:rsid w:val="00CD3B0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2797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97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9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797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gosuslugi.ru_bla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26</TotalTime>
  <Pages>2</Pages>
  <Words>781</Words>
  <Characters>4455</Characters>
  <Application>Microsoft Office Outlook</Application>
  <DocSecurity>0</DocSecurity>
  <Lines>0</Lines>
  <Paragraphs>0</Paragraphs>
  <ScaleCrop>false</ScaleCrop>
  <Company>PFR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subject/>
  <dc:creator>Стас</dc:creator>
  <cp:keywords/>
  <dc:description/>
  <cp:lastModifiedBy>0002</cp:lastModifiedBy>
  <cp:revision>3</cp:revision>
  <cp:lastPrinted>2012-05-14T11:17:00Z</cp:lastPrinted>
  <dcterms:created xsi:type="dcterms:W3CDTF">2013-12-06T06:31:00Z</dcterms:created>
  <dcterms:modified xsi:type="dcterms:W3CDTF">2013-12-06T07:26:00Z</dcterms:modified>
</cp:coreProperties>
</file>